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百兆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bookmarkEnd w:id="0"/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个155M SC光口和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个10/100Mbps网口，可实现100Base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安装简易便行，即插即用，无需任何设置；光口和网口均符合国际标准。采用低功耗芯片，产品具有隔离保护、数据保密性好、工作稳定、易于维护，，适用于不同商业、工业环境下工作。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5338445" cy="2280285"/>
            <wp:effectExtent l="0" t="0" r="14605" b="5715"/>
            <wp:docPr id="5" name="图片 4" descr="C:\Users\Administrator\Desktop\cf2c3a5cd1f40848426cac88214891a.jpgcf2c3a5cd1f40848426cac882148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cf2c3a5cd1f40848426cac88214891a.jpgcf2c3a5cd1f40848426cac88214891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6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4个10/100Base-TX网口，4个100Base-X光口；</w:t>
      </w:r>
    </w:p>
    <w:p>
      <w:pPr>
        <w:pStyle w:val="8"/>
        <w:numPr>
          <w:ilvl w:val="0"/>
          <w:numId w:val="1"/>
        </w:numPr>
        <w:spacing w:line="288" w:lineRule="auto"/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支持一键开关VLAN物理隔离；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1.1904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-12V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OFF模式：所有端口都可以相互通信；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ON模式：VLAN模式，1-4网口相互隔离，均可与光口通信。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FX1-4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5388610" cy="3239770"/>
            <wp:effectExtent l="0" t="0" r="2540" b="17780"/>
            <wp:docPr id="2" name="图片 2" descr="C:\Users\Administrator\Desktop\9da5819581ea0895a7c8c6c8a4fb4ae.jpg9da5819581ea0895a7c8c6c8a4fb4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9da5819581ea0895a7c8c6c8a4fb4ae.jpg9da5819581ea0895a7c8c6c8a4fb4a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70500" cy="3606165"/>
            <wp:effectExtent l="0" t="0" r="635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4光4电光纤收发器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-12V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F85FC5"/>
    <w:rsid w:val="05F35D1C"/>
    <w:rsid w:val="0B5F6E0F"/>
    <w:rsid w:val="0E882705"/>
    <w:rsid w:val="13541500"/>
    <w:rsid w:val="17A96006"/>
    <w:rsid w:val="1D272C3D"/>
    <w:rsid w:val="1DD060BA"/>
    <w:rsid w:val="39C44FBC"/>
    <w:rsid w:val="3C424BB4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DCC24F4"/>
    <w:rsid w:val="4F413C8E"/>
    <w:rsid w:val="4FAD303C"/>
    <w:rsid w:val="52E001FC"/>
    <w:rsid w:val="544D043B"/>
    <w:rsid w:val="56815ACA"/>
    <w:rsid w:val="5B8F7538"/>
    <w:rsid w:val="5F0A2C39"/>
    <w:rsid w:val="62492C46"/>
    <w:rsid w:val="62520709"/>
    <w:rsid w:val="6B46162D"/>
    <w:rsid w:val="70BE6307"/>
    <w:rsid w:val="70FB6458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2024-01-08T02:53:42Z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C82A0989326A4704AA71987D1DDAF0AA_13</vt:lpwstr>
  </property>
</Properties>
</file>